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PAZK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azk"/>
    <w:p>
      <w:pPr>
        <w:pStyle w:val="Heading1"/>
      </w:pPr>
      <w:r>
        <w:t xml:space="preserve">Назначение PAZK</w:t>
      </w:r>
    </w:p>
    <w:p>
      <w:pPr>
        <w:pStyle w:val="FirstParagraph"/>
      </w:pPr>
      <w:r>
        <w:rPr>
          <w:rStyle w:val="VerbatimChar"/>
        </w:rPr>
        <w:t xml:space="preserve">PAZK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PAZK</w:t>
      </w:r>
      <w:r>
        <w:t xml:space="preserve">. Он использует полевой редактор и рабочий лист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 а пользовательское отображение строится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и дополнительными форматами поиска и выставок.</w:t>
      </w:r>
    </w:p>
    <w:p>
      <w:pPr>
        <w:pStyle w:val="BodyText"/>
      </w:pPr>
      <w:r>
        <w:t xml:space="preserve">Модуль предназначен для хранения библиографического описания книги в вариантах, где основная точка доступа задается автором, коллективным автором или заглавием.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PAZK</dc:title>
  <dc:creator/>
  <cp:keywords/>
  <dcterms:created xsi:type="dcterms:W3CDTF">2026-08-29T09:27:57Z</dcterms:created>
  <dcterms:modified xsi:type="dcterms:W3CDTF">2026-08-29T09:27:57Z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